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Информация о рассмотрении обращений граждан и организаций,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поступивших в адрес </w:t>
      </w:r>
      <w:r>
        <w:rPr>
          <w:sz w:val="28"/>
          <w:szCs w:val="28"/>
        </w:rPr>
        <w:t xml:space="preserve">центрального аппарата Федерального казначейства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</w:t>
      </w:r>
      <w:r>
        <w:rPr>
          <w:sz w:val="28"/>
          <w:szCs w:val="28"/>
        </w:rPr>
        <w:t xml:space="preserve">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В 2025</w:t>
      </w:r>
      <w:bookmarkStart w:id="0" w:name="_GoBack"/>
      <w:r/>
      <w:bookmarkEnd w:id="0"/>
      <w:r>
        <w:rPr>
          <w:sz w:val="28"/>
          <w:szCs w:val="28"/>
        </w:rPr>
        <w:t xml:space="preserve"> году в центральный аппарат Федерального казначейства </w:t>
      </w:r>
      <w:r>
        <w:rPr>
          <w:sz w:val="28"/>
          <w:szCs w:val="28"/>
        </w:rPr>
        <w:br/>
        <w:t xml:space="preserve">поступило </w:t>
      </w:r>
      <w:r>
        <w:rPr>
          <w:rStyle w:val="879"/>
          <w:color w:val="000000"/>
          <w:sz w:val="28"/>
          <w:szCs w:val="28"/>
        </w:rPr>
        <w:t xml:space="preserve">5242 обращения</w:t>
      </w:r>
      <w:r>
        <w:rPr>
          <w:rStyle w:val="879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и организаций (далее – обращения), </w:t>
      </w:r>
      <w:r>
        <w:rPr>
          <w:sz w:val="28"/>
          <w:szCs w:val="28"/>
        </w:rPr>
        <w:br/>
        <w:t xml:space="preserve">из них </w:t>
      </w:r>
      <w:r>
        <w:rPr>
          <w:rStyle w:val="879"/>
          <w:color w:val="000000"/>
          <w:sz w:val="28"/>
          <w:szCs w:val="28"/>
        </w:rPr>
        <w:t xml:space="preserve">4144 обращения</w:t>
      </w:r>
      <w:r>
        <w:rPr>
          <w:rStyle w:val="879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и </w:t>
      </w:r>
      <w:r>
        <w:rPr>
          <w:rStyle w:val="879"/>
          <w:color w:val="000000"/>
          <w:sz w:val="28"/>
          <w:szCs w:val="28"/>
        </w:rPr>
        <w:t xml:space="preserve">1098 обращений</w:t>
      </w:r>
      <w:r>
        <w:rPr>
          <w:rStyle w:val="879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09"/>
        <w:jc w:val="both"/>
        <w:spacing w:before="0" w:beforeAutospacing="0" w:after="0" w:afterAutospacing="0" w:line="360" w:lineRule="atLeast"/>
        <w:rPr>
          <w:rStyle w:val="879"/>
          <w:color w:val="000000"/>
          <w:sz w:val="28"/>
          <w:szCs w:val="28"/>
        </w:rPr>
      </w:pPr>
      <w:r>
        <w:rPr>
          <w:rStyle w:val="879"/>
          <w:color w:val="000000"/>
          <w:sz w:val="28"/>
          <w:szCs w:val="28"/>
        </w:rPr>
        <w:t xml:space="preserve">Основными темами обращений в центральный аппарат Федерального казначейства в 2025 году были:</w:t>
      </w:r>
      <w:r>
        <w:rPr>
          <w:rStyle w:val="879"/>
          <w:color w:val="000000"/>
          <w:sz w:val="28"/>
          <w:szCs w:val="28"/>
        </w:rPr>
      </w:r>
      <w:r>
        <w:rPr>
          <w:rStyle w:val="879"/>
          <w:color w:val="000000"/>
          <w:sz w:val="28"/>
          <w:szCs w:val="28"/>
        </w:rPr>
      </w:r>
    </w:p>
    <w:p>
      <w:pPr>
        <w:pStyle w:val="881"/>
        <w:ind w:firstLine="709"/>
        <w:jc w:val="both"/>
        <w:spacing w:before="0" w:beforeAutospacing="0" w:after="0" w:afterAutospacing="0" w:line="360" w:lineRule="atLeast"/>
      </w:pPr>
      <w:r>
        <w:rPr>
          <w:color w:val="000000"/>
          <w:sz w:val="28"/>
          <w:szCs w:val="28"/>
        </w:rPr>
        <w:t xml:space="preserve">вопросы по исполнительному и судебному производству – </w:t>
        <w:br/>
      </w:r>
      <w:r>
        <w:rPr>
          <w:color w:val="000000"/>
          <w:sz w:val="28"/>
          <w:szCs w:val="28"/>
        </w:rPr>
        <w:t xml:space="preserve">1552 обращения, что составило 29,6 % от общего количества поступивших обращений;</w:t>
      </w:r>
      <w:r/>
    </w:p>
    <w:p>
      <w:pPr>
        <w:pStyle w:val="881"/>
        <w:ind w:firstLine="709"/>
        <w:jc w:val="both"/>
        <w:spacing w:before="0" w:beforeAutospacing="0" w:after="0" w:afterAutospacing="0" w:line="360" w:lineRule="atLeast"/>
      </w:pPr>
      <w:r>
        <w:rPr>
          <w:color w:val="000000"/>
          <w:sz w:val="28"/>
          <w:szCs w:val="28"/>
        </w:rPr>
        <w:t xml:space="preserve">вопросы работоспособности, размещения и корректировки информации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официальном сайте единой информационной системы в сфере закупок www.zakupki.gov.ru (далее – ЕИС) и вопросы функционирования Государственной информационной системы о государственных </w:t>
        <w:br/>
      </w:r>
      <w:r>
        <w:rPr>
          <w:color w:val="000000"/>
          <w:sz w:val="28"/>
          <w:szCs w:val="28"/>
        </w:rPr>
        <w:t xml:space="preserve">и муниципальных платежах (далее – ГИС ГМП), в том числе отсутствие </w:t>
        <w:br/>
      </w:r>
      <w:r>
        <w:rPr>
          <w:color w:val="000000"/>
          <w:sz w:val="28"/>
          <w:szCs w:val="28"/>
        </w:rPr>
        <w:t xml:space="preserve">или некорректное отражение в ГИС ГМП информации об оплате административных штрафов в области дорожного движения – 1112 обращений (21,2 %);</w:t>
      </w:r>
      <w:r/>
    </w:p>
    <w:p>
      <w:pPr>
        <w:pStyle w:val="881"/>
        <w:ind w:firstLine="709"/>
        <w:jc w:val="both"/>
        <w:spacing w:before="0" w:beforeAutospacing="0" w:after="0" w:afterAutospacing="0" w:line="360" w:lineRule="atLeast"/>
      </w:pPr>
      <w:r>
        <w:rPr>
          <w:color w:val="000000"/>
          <w:sz w:val="28"/>
          <w:szCs w:val="28"/>
        </w:rPr>
        <w:t xml:space="preserve">вопросы по возврату и розыску уплаченных денежных средств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 695</w:t>
      </w:r>
      <w:r>
        <w:rPr>
          <w:color w:val="000000"/>
          <w:sz w:val="28"/>
          <w:szCs w:val="28"/>
        </w:rPr>
        <w:t xml:space="preserve"> обращений (13,3 %);</w:t>
      </w:r>
      <w:r/>
    </w:p>
    <w:p>
      <w:pPr>
        <w:pStyle w:val="881"/>
        <w:ind w:firstLine="709"/>
        <w:jc w:val="both"/>
        <w:spacing w:before="0" w:beforeAutospacing="0" w:after="0" w:afterAutospacing="0" w:line="360" w:lineRule="atLeast"/>
      </w:pPr>
      <w:r>
        <w:rPr>
          <w:color w:val="000000"/>
          <w:sz w:val="28"/>
          <w:szCs w:val="28"/>
        </w:rPr>
        <w:t xml:space="preserve">вопросы по регистрации физического лица в качестве участника бюджетного процесса для получения бюджетных средств, а также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обеспечению жизнедеятельности заявителей и их семей – 488 обращений (9,3 %);</w:t>
      </w:r>
      <w:r/>
    </w:p>
    <w:p>
      <w:pPr>
        <w:pStyle w:val="881"/>
        <w:ind w:firstLine="709"/>
        <w:jc w:val="both"/>
        <w:spacing w:before="0" w:beforeAutospacing="0" w:after="0" w:afterAutospacing="0" w:line="360" w:lineRule="atLeast"/>
      </w:pPr>
      <w:r>
        <w:rPr>
          <w:color w:val="000000"/>
          <w:sz w:val="28"/>
          <w:szCs w:val="28"/>
        </w:rPr>
        <w:t xml:space="preserve">вопросы по разъяснению и применению Федерального закона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(далее – 44-ФЗ) и Федерального закона от 18 июля 2011 г. № 223-ФЗ </w:t>
        <w:br/>
        <w:t xml:space="preserve">«О закупках товаров, работ, услуг отдельными видами юридических лиц» (далее –223-ФЗ) </w:t>
      </w:r>
      <w:r>
        <w:rPr>
          <w:color w:val="000000"/>
          <w:sz w:val="28"/>
          <w:szCs w:val="28"/>
        </w:rPr>
        <w:t xml:space="preserve">и вопросы, связанные с возможными нарушениями </w:t>
        <w:br/>
        <w:t xml:space="preserve">их положений – </w:t>
      </w:r>
      <w:r>
        <w:rPr>
          <w:color w:val="000000"/>
          <w:sz w:val="28"/>
          <w:szCs w:val="28"/>
        </w:rPr>
        <w:t xml:space="preserve">428 обращений (8,2 %);</w:t>
      </w:r>
      <w:r/>
    </w:p>
    <w:p>
      <w:pPr>
        <w:ind w:firstLine="720"/>
        <w:jc w:val="both"/>
        <w:spacing w:line="360" w:lineRule="atLeast"/>
        <w:rPr>
          <w:rStyle w:val="870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по иным темам – 967 обращений (18,4 %).</w:t>
      </w:r>
      <w:r>
        <w:rPr>
          <w:rStyle w:val="870"/>
          <w:color w:val="000000"/>
          <w:sz w:val="28"/>
          <w:szCs w:val="28"/>
          <w:u w:val="none"/>
        </w:rPr>
      </w:r>
      <w:r>
        <w:rPr>
          <w:rStyle w:val="870"/>
          <w:color w:val="000000"/>
          <w:sz w:val="28"/>
          <w:szCs w:val="28"/>
          <w:u w:val="none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 и 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осуществлялось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строгом соответствии с 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2006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59-</w:t>
      </w:r>
      <w:r>
        <w:rPr>
          <w:sz w:val="28"/>
          <w:szCs w:val="28"/>
        </w:rPr>
        <w:t xml:space="preserve">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порядке рассмотрения обращени</w:t>
      </w:r>
      <w:r>
        <w:rPr>
          <w:sz w:val="28"/>
          <w:szCs w:val="28"/>
        </w:rPr>
        <w:t xml:space="preserve">й граждан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 ним </w:t>
      </w:r>
      <w:r>
        <w:rPr>
          <w:sz w:val="28"/>
          <w:szCs w:val="28"/>
        </w:rPr>
        <w:t xml:space="preserve">принимались соответствующие меры: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3475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авторам даны необходимые разъяснения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рекомендации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852</w:t>
      </w:r>
      <w:r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 перенаправлены по принадлежности в другие ведомства;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721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принят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к сведению либо учте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 анонимных</w:t>
      </w:r>
      <w:r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оставлены без ответа;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167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прекращено на основании соответствующ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автор</w:t>
      </w:r>
      <w:r>
        <w:rPr>
          <w:sz w:val="28"/>
          <w:szCs w:val="28"/>
        </w:rPr>
        <w:t xml:space="preserve">ов обращений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99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79927507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6"/>
    <w:next w:val="866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7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6"/>
    <w:next w:val="866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7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7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7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7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7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7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6"/>
    <w:next w:val="866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7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6"/>
    <w:next w:val="866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7"/>
    <w:link w:val="711"/>
    <w:uiPriority w:val="10"/>
    <w:rPr>
      <w:sz w:val="48"/>
      <w:szCs w:val="48"/>
    </w:rPr>
  </w:style>
  <w:style w:type="paragraph" w:styleId="713">
    <w:name w:val="Subtitle"/>
    <w:basedOn w:val="866"/>
    <w:next w:val="866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7"/>
    <w:link w:val="713"/>
    <w:uiPriority w:val="11"/>
    <w:rPr>
      <w:sz w:val="24"/>
      <w:szCs w:val="24"/>
    </w:rPr>
  </w:style>
  <w:style w:type="paragraph" w:styleId="715">
    <w:name w:val="Quote"/>
    <w:basedOn w:val="866"/>
    <w:next w:val="866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6"/>
    <w:next w:val="866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7"/>
    <w:link w:val="875"/>
    <w:uiPriority w:val="99"/>
  </w:style>
  <w:style w:type="character" w:styleId="720">
    <w:name w:val="Footer Char"/>
    <w:basedOn w:val="867"/>
    <w:link w:val="877"/>
    <w:uiPriority w:val="99"/>
  </w:style>
  <w:style w:type="paragraph" w:styleId="721">
    <w:name w:val="Caption"/>
    <w:basedOn w:val="866"/>
    <w:next w:val="866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7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sz w:val="24"/>
      <w:szCs w:val="24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>
    <w:name w:val="Hyperlink"/>
    <w:basedOn w:val="867"/>
    <w:rPr>
      <w:color w:val="0000ff"/>
      <w:u w:val="single"/>
    </w:rPr>
  </w:style>
  <w:style w:type="paragraph" w:styleId="871">
    <w:name w:val="List Paragraph"/>
    <w:basedOn w:val="866"/>
    <w:uiPriority w:val="34"/>
    <w:qFormat/>
    <w:pPr>
      <w:contextualSpacing/>
      <w:ind w:left="720"/>
    </w:pPr>
  </w:style>
  <w:style w:type="paragraph" w:styleId="872">
    <w:name w:val="Balloon Text"/>
    <w:basedOn w:val="866"/>
    <w:link w:val="873"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67"/>
    <w:link w:val="872"/>
    <w:rPr>
      <w:rFonts w:ascii="Tahoma" w:hAnsi="Tahoma" w:cs="Tahoma"/>
      <w:sz w:val="16"/>
      <w:szCs w:val="16"/>
    </w:rPr>
  </w:style>
  <w:style w:type="paragraph" w:styleId="874" w:customStyle="1">
    <w:name w:val="Char Char Char Char"/>
    <w:basedOn w:val="866"/>
    <w:next w:val="866"/>
    <w:semiHidden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875">
    <w:name w:val="Header"/>
    <w:basedOn w:val="866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67"/>
    <w:link w:val="875"/>
    <w:uiPriority w:val="99"/>
    <w:rPr>
      <w:sz w:val="24"/>
      <w:szCs w:val="24"/>
    </w:rPr>
  </w:style>
  <w:style w:type="paragraph" w:styleId="877">
    <w:name w:val="Footer"/>
    <w:basedOn w:val="866"/>
    <w:link w:val="878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67"/>
    <w:link w:val="877"/>
    <w:rPr>
      <w:sz w:val="24"/>
      <w:szCs w:val="24"/>
    </w:rPr>
  </w:style>
  <w:style w:type="character" w:styleId="879" w:customStyle="1">
    <w:name w:val="docdata"/>
    <w:basedOn w:val="867"/>
  </w:style>
  <w:style w:type="paragraph" w:styleId="880" w:customStyle="1">
    <w:name w:val="6914"/>
    <w:basedOn w:val="866"/>
    <w:pPr>
      <w:spacing w:before="100" w:beforeAutospacing="1" w:after="100" w:afterAutospacing="1"/>
    </w:pPr>
  </w:style>
  <w:style w:type="paragraph" w:styleId="881">
    <w:name w:val="Normal (Web)"/>
    <w:basedOn w:val="866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ФК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Татьяна Геннадьевна</dc:creator>
  <cp:lastModifiedBy>Аноним</cp:lastModifiedBy>
  <cp:revision>6</cp:revision>
  <dcterms:created xsi:type="dcterms:W3CDTF">2026-02-09T08:42:00Z</dcterms:created>
  <dcterms:modified xsi:type="dcterms:W3CDTF">2026-02-10T09:20:27Z</dcterms:modified>
</cp:coreProperties>
</file>